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rporate S BQ" w:hAnsi="Corporate S BQ"/>
          <w:b/>
          <w:b/>
          <w:bCs/>
          <w:color w:val="FF0000"/>
          <w:sz w:val="20"/>
          <w:szCs w:val="20"/>
        </w:rPr>
      </w:pPr>
      <w:r>
        <w:rPr>
          <w:rFonts w:ascii="Corporate S BQ" w:hAnsi="Corporate S BQ"/>
          <w:b/>
          <w:color w:val="0000FF"/>
          <w:sz w:val="20"/>
          <w:szCs w:val="20"/>
        </w:rPr>
        <w:t>PROGRAMME DE FORMATION</w:t>
      </w:r>
    </w:p>
    <w:p>
      <w:pPr>
        <w:pStyle w:val="Normal"/>
        <w:jc w:val="center"/>
        <w:rPr>
          <w:rFonts w:ascii="Corporate S BQ" w:hAnsi="Corporate S BQ"/>
          <w:b/>
          <w:b/>
          <w:bCs/>
          <w:color w:val="FF0000"/>
          <w:sz w:val="20"/>
          <w:szCs w:val="20"/>
        </w:rPr>
      </w:pPr>
      <w:r>
        <w:rPr>
          <w:rFonts w:ascii="Corporate S BQ" w:hAnsi="Corporate S BQ"/>
          <w:b/>
          <w:bCs/>
          <w:color w:val="FF0000"/>
          <w:sz w:val="20"/>
          <w:szCs w:val="20"/>
        </w:rPr>
      </w:r>
    </w:p>
    <w:p>
      <w:pPr>
        <w:pStyle w:val="Normal"/>
        <w:suppressAutoHyphens w:val="false"/>
        <w:rPr>
          <w:rFonts w:ascii="Corporate S BQ" w:hAnsi="Corporate S BQ"/>
          <w:b/>
          <w:b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color w:val="FFFFFF"/>
          <w:sz w:val="20"/>
          <w:szCs w:val="20"/>
          <w:highlight w:val="blue"/>
        </w:rPr>
      </w:r>
    </w:p>
    <w:p>
      <w:pPr>
        <w:pStyle w:val="Normal"/>
        <w:suppressAutoHyphens w:val="false"/>
        <w:rPr/>
      </w:pPr>
      <w:r>
        <w:rPr>
          <w:rFonts w:ascii="Corporate S BQ" w:hAnsi="Corporate S BQ"/>
          <w:b/>
          <w:color w:val="FFFFFF"/>
          <w:sz w:val="20"/>
          <w:szCs w:val="20"/>
          <w:highlight w:val="blue"/>
        </w:rPr>
        <w:t xml:space="preserve"> 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Titre du stage</w:t>
      </w:r>
      <w:r>
        <w:rPr>
          <w:rFonts w:ascii="Corporate S BQ" w:hAnsi="Corporate S BQ"/>
          <w:b/>
          <w:color w:val="FFFFFF"/>
          <w:sz w:val="20"/>
          <w:szCs w:val="20"/>
          <w:highlight w:val="blue"/>
        </w:rPr>
        <w:t xml:space="preserve">  </w:t>
      </w:r>
      <w:r>
        <w:rPr>
          <w:rFonts w:ascii="Corporate S BQ" w:hAnsi="Corporate S BQ"/>
          <w:b/>
          <w:color w:val="1F1F1F"/>
          <w:sz w:val="20"/>
          <w:szCs w:val="20"/>
        </w:rPr>
        <w:t xml:space="preserve"> :  </w:t>
        <w:tab/>
        <w:t>Recherche de sites ressources pour la récolte de « végétaux</w:t>
      </w:r>
    </w:p>
    <w:p>
      <w:pPr>
        <w:pStyle w:val="Normal"/>
        <w:suppressAutoHyphens w:val="false"/>
        <w:rPr/>
      </w:pPr>
      <w:r>
        <w:rPr>
          <w:rFonts w:ascii="Corporate S BQ" w:hAnsi="Corporate S BQ"/>
          <w:b/>
          <w:color w:val="1F1F1F"/>
          <w:sz w:val="20"/>
          <w:szCs w:val="20"/>
        </w:rPr>
        <w:t>locaux » (selon le cahier des charges du label)</w:t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Public concerné 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  <w:tab/>
      </w:r>
      <w:r>
        <w:rPr>
          <w:rFonts w:ascii="Corporate S BQ" w:hAnsi="Corporate S BQ"/>
          <w:sz w:val="20"/>
          <w:szCs w:val="20"/>
        </w:rPr>
        <w:t xml:space="preserve"> Collectivités, Entreprise, Service public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Effectif </w:t>
      </w:r>
      <w:r>
        <w:rPr>
          <w:rFonts w:ascii="Corporate S BQ" w:hAnsi="Corporate S BQ"/>
          <w:b/>
          <w:smallCaps/>
          <w:color w:val="FFFFFF"/>
          <w:sz w:val="20"/>
          <w:szCs w:val="20"/>
        </w:rPr>
        <w:tab/>
        <w:tab/>
        <w:tab/>
      </w:r>
      <w:r>
        <w:rPr>
          <w:rFonts w:ascii="Corporate S BQ" w:hAnsi="Corporate S BQ"/>
          <w:color w:val="1F1F1F"/>
          <w:sz w:val="20"/>
          <w:szCs w:val="20"/>
        </w:rPr>
        <w:t>Mini : 8</w:t>
        <w:tab/>
        <w:tab/>
        <w:t>Maxi :12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Pré requis 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>: Il est conseillé de maîtriser les notions de base en lecture de paysage, cartographie et description d’habitats.</w:t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Objectifs de la formation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Traduire le cahier des charges pour orienter sa prospection à l’aide de Géoportail.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Identifier les points clefs et vérifier sur site (absence de plantation postérieure à 1970, éloignements des axes de communication et îlots urbains, etc.)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Décrire et valider le site comme site de ressource conforme aux cahiers des charges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 w:eastAsia="Calibri" w:cs="CorporateS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Contenu de l’action </w:t>
      </w:r>
      <w:r>
        <w:rPr>
          <w:rFonts w:eastAsia="HiddenHorzOCR"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</w:r>
    </w:p>
    <w:p>
      <w:pPr>
        <w:pStyle w:val="Normal"/>
        <w:rPr>
          <w:rFonts w:ascii="Corporate S BQ" w:hAnsi="Corporate S BQ" w:eastAsia="Calibri" w:cs="CorporateSBQ"/>
          <w:color w:val="1F1F1F"/>
          <w:sz w:val="20"/>
          <w:szCs w:val="20"/>
        </w:rPr>
      </w:pPr>
      <w:r>
        <w:rPr>
          <w:rFonts w:eastAsia="Calibri" w:cs="CorporateSBQ" w:ascii="Corporate S BQ" w:hAnsi="Corporate S BQ"/>
          <w:color w:val="1F1F1F"/>
          <w:sz w:val="20"/>
          <w:szCs w:val="20"/>
        </w:rPr>
        <w:t>- synthèse et priorisation des règles définissant un site ressource : notions obligatoires et facultatives,</w:t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eastAsia="Calibri" w:cs="CorporateSBQ" w:ascii="Corporate S BQ" w:hAnsi="Corporate S BQ"/>
          <w:color w:val="1F1F1F"/>
          <w:sz w:val="20"/>
          <w:szCs w:val="20"/>
        </w:rPr>
        <w:t>- croisement de données cartographiques</w:t>
      </w:r>
      <w:r>
        <w:rPr>
          <w:rFonts w:eastAsia="Calibri" w:cs="CorporateSBQ" w:ascii="Corporate S BQ" w:hAnsi="Corporate S BQ"/>
          <w:color w:val="000000"/>
          <w:sz w:val="20"/>
          <w:szCs w:val="20"/>
        </w:rPr>
        <w:t>,</w:t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  <w:t>- identification des structures et réseaux à solliciter,</w:t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  <w:t>- lecture de paysage,</w:t>
      </w:r>
    </w:p>
    <w:p>
      <w:pPr>
        <w:pStyle w:val="Normal"/>
        <w:spacing w:before="0" w:after="240"/>
        <w:rPr>
          <w:rFonts w:ascii="Corporate S BQ" w:hAnsi="Corporate S BQ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  <w:t>- description d’habitats et inventaire d’espèces.</w:t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Méthodes pédagogiques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  <w:u w:val="single"/>
        </w:rPr>
        <w:t xml:space="preserve"> </w:t>
      </w:r>
      <w:r>
        <w:rPr>
          <w:rFonts w:eastAsia="HiddenHorzOCR"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</w:r>
    </w:p>
    <w:p>
      <w:pPr>
        <w:pStyle w:val="Normal"/>
        <w:spacing w:before="0" w:after="240"/>
        <w:jc w:val="both"/>
        <w:rPr/>
      </w:pPr>
      <w:r>
        <w:rPr>
          <w:rFonts w:ascii="Corporate S BQ" w:hAnsi="Corporate S BQ"/>
          <w:sz w:val="20"/>
          <w:szCs w:val="20"/>
        </w:rPr>
        <w:t>Cette formation sera conduite en salle au CFPPA Angers Le Fresne mais également sur le terrain autour d’Angers. Elle alternera vidéo projection, exercices pratiques; échanges de pratiques ; retour d’expériences.</w:t>
      </w:r>
    </w:p>
    <w:p>
      <w:pPr>
        <w:pStyle w:val="Normal"/>
        <w:spacing w:before="0" w:after="120"/>
        <w:rPr/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es utilisés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240"/>
        <w:rPr>
          <w:rFonts w:ascii="Corporate S BQ" w:hAnsi="Corporate S BQ"/>
          <w:b/>
          <w:b/>
          <w:color w:val="1F1F1F"/>
          <w:sz w:val="20"/>
          <w:szCs w:val="20"/>
          <w:u w:val="single"/>
        </w:rPr>
      </w:pPr>
      <w:r>
        <w:rPr>
          <w:rFonts w:ascii="Corporate S BQ" w:hAnsi="Corporate S BQ"/>
          <w:color w:val="1F1F1F"/>
          <w:sz w:val="20"/>
          <w:szCs w:val="20"/>
        </w:rPr>
        <w:t xml:space="preserve">Ateliers collectifs en salle et sur le terrain, présentations interactives. </w:t>
      </w:r>
    </w:p>
    <w:p>
      <w:pPr>
        <w:pStyle w:val="Normal"/>
        <w:spacing w:before="0" w:after="12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Moyens d'encadrement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12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>Un(e) formateur/trice sera présent(e) durant toute la durée de la formation. Le déjeuner sera pris collectivement au CFPPA Angers le Fresne avec l’intervenant</w:t>
      </w:r>
    </w:p>
    <w:p>
      <w:pPr>
        <w:pStyle w:val="Normal"/>
        <w:rPr/>
      </w:pPr>
      <w:r>
        <w:rPr>
          <w:rFonts w:ascii="Corporate S BQ" w:hAnsi="Corporate S BQ"/>
          <w:color w:val="000000"/>
          <w:sz w:val="20"/>
          <w:szCs w:val="20"/>
        </w:rPr>
        <w:t>Il s’agira pour ces deux jours de Michel Bouteaud, du CREN Poitou-Charentes et Arnaud Fourrier d</w:t>
      </w:r>
      <w:r>
        <w:rPr>
          <w:rFonts w:ascii="Corporate S BQ" w:hAnsi="Corporate S BQ"/>
          <w:color w:val="000000"/>
          <w:sz w:val="20"/>
          <w:szCs w:val="20"/>
        </w:rPr>
        <w:t>e l’</w:t>
      </w:r>
      <w:r>
        <w:rPr>
          <w:rFonts w:ascii="Corporate S BQ" w:hAnsi="Corporate S BQ"/>
          <w:color w:val="000000"/>
          <w:sz w:val="20"/>
          <w:szCs w:val="20"/>
        </w:rPr>
        <w:t>EPLEFPA Angers le Fresne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Dispositif de suivi de l'action </w:t>
      </w:r>
      <w:r>
        <w:rPr>
          <w:rFonts w:ascii="Corporate S BQ" w:hAnsi="Corporate S BQ"/>
          <w:color w:val="000000"/>
          <w:sz w:val="20"/>
          <w:szCs w:val="20"/>
        </w:rPr>
        <w:t>: Feuilles</w:t>
      </w:r>
      <w:r>
        <w:rPr>
          <w:rFonts w:ascii="Corporate S BQ" w:hAnsi="Corporate S BQ"/>
          <w:color w:val="1F1F1F"/>
          <w:sz w:val="20"/>
          <w:szCs w:val="20"/>
        </w:rPr>
        <w:t xml:space="preserve"> de présence signées par demi-journées. 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Dispositif d'évaluation des résultats </w:t>
      </w:r>
      <w:r>
        <w:rPr>
          <w:rFonts w:ascii="Corporate S BQ" w:hAnsi="Corporate S BQ"/>
          <w:color w:val="000000"/>
          <w:sz w:val="20"/>
          <w:szCs w:val="20"/>
        </w:rPr>
        <w:t xml:space="preserve"> :  </w:t>
      </w:r>
      <w:r>
        <w:rPr>
          <w:rFonts w:ascii="Corporate S BQ" w:hAnsi="Corporate S BQ"/>
          <w:color w:val="1F1F1F"/>
          <w:sz w:val="20"/>
          <w:szCs w:val="20"/>
        </w:rPr>
        <w:t>Evaluation formative en fin de journée .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Date et durée de l'action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color w:val="1F1F1F"/>
          <w:sz w:val="20"/>
          <w:szCs w:val="20"/>
        </w:rPr>
        <w:t>14   heures au centre sur  2 jours    --  DATE :  5 et 6 octobre 2017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Code cpf </w:t>
      </w:r>
      <w:r>
        <w:rPr>
          <w:rFonts w:ascii="Corporate S BQ" w:hAnsi="Corporate S BQ"/>
          <w:color w:val="1F1F1F"/>
          <w:sz w:val="20"/>
          <w:szCs w:val="20"/>
        </w:rPr>
        <w:t xml:space="preserve"> non éligible 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Tarif :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 xml:space="preserve">Frais de formation : </w:t>
      </w:r>
      <w:r>
        <w:rPr>
          <w:rFonts w:eastAsia="Calibri" w:cs="CorporateSBQ" w:ascii="Corporate S BQ" w:hAnsi="Corporate S BQ"/>
          <w:b/>
          <w:color w:val="000000"/>
          <w:sz w:val="20"/>
          <w:szCs w:val="20"/>
          <w:lang w:eastAsia="en-US"/>
        </w:rPr>
        <w:t xml:space="preserve">125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eastAsia="en-US"/>
        </w:rPr>
        <w:t>€ la journée / stagiaire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Frais de restauration : possibilité de déjeuner sur place : 8,74</w:t>
      </w:r>
      <w:r>
        <w:rPr>
          <w:rFonts w:eastAsia="Calibri" w:cs="Calibri" w:ascii="Calibri" w:hAnsi="Calibri"/>
          <w:color w:val="000000"/>
          <w:sz w:val="20"/>
          <w:szCs w:val="20"/>
          <w:lang w:eastAsia="en-US"/>
        </w:rPr>
        <w:t>€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/repas (Tarifs nets de taxe – le CFPPA n’est pas assujetti à la TVA)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_Contact: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Information sur la formation : Anne-Marie BOUCARD - 02 41 68 60 06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ab/>
        <w:tab/>
        <w:tab/>
        <w:tab/>
        <w:t xml:space="preserve">  Et le référent de formation : Olivier Ziberlin 02 41 68 60 03</w:t>
      </w:r>
    </w:p>
    <w:p>
      <w:pPr>
        <w:pStyle w:val="Normal"/>
        <w:spacing w:before="0" w:after="120"/>
        <w:rPr/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Inscription : Sylvie BAZOT : 02 41 68 60 04</w:t>
      </w:r>
    </w:p>
    <w:sectPr>
      <w:headerReference w:type="default" r:id="rId2"/>
      <w:footerReference w:type="default" r:id="rId3"/>
      <w:type w:val="nextPage"/>
      <w:pgSz w:w="11906" w:h="16838"/>
      <w:pgMar w:left="1560" w:right="1417" w:header="708" w:top="1417" w:footer="543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porate S BQ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1163111"/>
    </w:sdtPr>
    <w:sdtContent>
      <w:p>
        <w:pPr>
          <w:pStyle w:val="Pieddepage"/>
          <w:rPr/>
        </w:pPr>
        <w:r>
          <w:rPr>
            <w:sz w:val="20"/>
          </w:rPr>
          <w:t xml:space="preserve">CFPPA LE FRESNE – ANGERS  </w:t>
          <w:tab/>
          <w:tab/>
          <w:tab/>
        </w: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>/1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-466090</wp:posOffset>
          </wp:positionH>
          <wp:positionV relativeFrom="paragraph">
            <wp:posOffset>-76200</wp:posOffset>
          </wp:positionV>
          <wp:extent cx="1515110" cy="858520"/>
          <wp:effectExtent l="0" t="0" r="0" b="0"/>
          <wp:wrapTight wrapText="bothSides">
            <wp:wrapPolygon edited="0">
              <wp:start x="-576" y="0"/>
              <wp:lineTo x="-576" y="20404"/>
              <wp:lineTo x="21600" y="20404"/>
              <wp:lineTo x="21600" y="0"/>
              <wp:lineTo x="-576" y="0"/>
            </wp:wrapPolygon>
          </wp:wrapTight>
          <wp:docPr id="1" name="Image 3" descr="CFPPA_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FPPA_L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6aa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f0ce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bf0ce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f0cea"/>
    <w:rPr>
      <w:rFonts w:ascii="Tahoma" w:hAnsi="Tahoma" w:eastAsia="SimSun" w:cs="Mangal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bf0ce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ce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f0cea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LibreOffice/5.3.0.3$Windows_x86 LibreOffice_project/7074905676c47b82bbcfbea1aeefc84afe1c50e1</Application>
  <Pages>1</Pages>
  <Words>382</Words>
  <Characters>1957</Characters>
  <CharactersWithSpaces>2359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2017-05-31T13:26:00Z</dcterms:created>
  <dc:creator>bazots</dc:creator>
  <dc:description/>
  <dc:language>fr-FR</dc:language>
  <cp:lastModifiedBy/>
  <dcterms:modified xsi:type="dcterms:W3CDTF">2017-06-14T08:42:33Z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